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23" w:rsidRPr="00A35823" w:rsidRDefault="00A35823" w:rsidP="00A35823">
      <w:pPr>
        <w:shd w:val="clear" w:color="auto" w:fill="FFFFFF"/>
        <w:spacing w:before="300" w:after="150"/>
        <w:outlineLvl w:val="0"/>
        <w:rPr>
          <w:rFonts w:ascii="inherit" w:eastAsia="Times New Roman" w:hAnsi="inherit" w:cs="Segoe UI"/>
          <w:color w:val="000000"/>
          <w:kern w:val="36"/>
          <w:sz w:val="48"/>
          <w:szCs w:val="48"/>
          <w:lang w:eastAsia="bs-Latn-BA"/>
        </w:rPr>
      </w:pPr>
      <w:r w:rsidRPr="00A35823">
        <w:rPr>
          <w:rFonts w:ascii="inherit" w:eastAsia="Times New Roman" w:hAnsi="inherit" w:cs="Segoe UI"/>
          <w:color w:val="000000"/>
          <w:kern w:val="36"/>
          <w:sz w:val="48"/>
          <w:szCs w:val="48"/>
          <w:lang w:eastAsia="bs-Latn-BA"/>
        </w:rPr>
        <w:t>Službene novine Federacije BiH, broj 89/18</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t>Na osnovu člana IV.B.7. a)(IV) Ustava Federacije Bosne i Hercegovine, donosim </w:t>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br/>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b/>
          <w:bCs/>
          <w:color w:val="000000"/>
          <w:sz w:val="20"/>
          <w:lang w:eastAsia="bs-Latn-BA"/>
        </w:rPr>
        <w:t>UKAZ </w:t>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O PROGLAŠENJU ZAKONA O IZMJENAMA I DOPUNAMA ZAKONA O RADU</w:t>
      </w:r>
      <w:r w:rsidRPr="00A35823">
        <w:rPr>
          <w:rFonts w:ascii="Segoe UI" w:eastAsia="Times New Roman" w:hAnsi="Segoe UI" w:cs="Segoe UI"/>
          <w:color w:val="000000"/>
          <w:sz w:val="20"/>
          <w:szCs w:val="20"/>
          <w:lang w:eastAsia="bs-Latn-BA"/>
        </w:rPr>
        <w:t> </w:t>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br/>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br/>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t>Proglašava se Zakon o izmjenama i dopunama Zakona o radu, koji je usvojio Parlament Federacije Bosne i Hercegovine na sjednici Predstavničkog doma od 10.07.2018. godine i na sjednici Doma naroda od 01.06.2017. godine. </w:t>
      </w:r>
      <w:r w:rsidRPr="00A35823">
        <w:rPr>
          <w:rFonts w:ascii="Segoe UI" w:eastAsia="Times New Roman" w:hAnsi="Segoe UI" w:cs="Segoe UI"/>
          <w:color w:val="000000"/>
          <w:sz w:val="20"/>
          <w:szCs w:val="20"/>
          <w:lang w:eastAsia="bs-Latn-BA"/>
        </w:rPr>
        <w:br/>
      </w:r>
    </w:p>
    <w:p w:rsidR="00A35823" w:rsidRDefault="00A35823" w:rsidP="00A35823">
      <w:pPr>
        <w:shd w:val="clear" w:color="auto" w:fill="FFFFFF"/>
        <w:spacing w:after="150"/>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t>Broj 01-02-1-492-01/18</w:t>
      </w:r>
      <w:r>
        <w:rPr>
          <w:rFonts w:ascii="Segoe UI" w:eastAsia="Times New Roman" w:hAnsi="Segoe UI" w:cs="Segoe UI"/>
          <w:color w:val="000000"/>
          <w:sz w:val="20"/>
          <w:szCs w:val="20"/>
          <w:lang w:eastAsia="bs-Latn-BA"/>
        </w:rPr>
        <w:tab/>
      </w:r>
      <w:r w:rsidRPr="00A35823">
        <w:rPr>
          <w:rFonts w:ascii="Segoe UI" w:eastAsia="Times New Roman" w:hAnsi="Segoe UI" w:cs="Segoe UI"/>
          <w:color w:val="000000"/>
          <w:sz w:val="20"/>
          <w:szCs w:val="20"/>
          <w:lang w:eastAsia="bs-Latn-BA"/>
        </w:rPr>
        <w:br/>
        <w:t xml:space="preserve">29. oktobra 2018. </w:t>
      </w:r>
      <w:r>
        <w:rPr>
          <w:rFonts w:ascii="Segoe UI" w:eastAsia="Times New Roman" w:hAnsi="Segoe UI" w:cs="Segoe UI"/>
          <w:color w:val="000000"/>
          <w:sz w:val="20"/>
          <w:szCs w:val="20"/>
          <w:lang w:eastAsia="bs-Latn-BA"/>
        </w:rPr>
        <w:t>g</w:t>
      </w:r>
      <w:r w:rsidRPr="00A35823">
        <w:rPr>
          <w:rFonts w:ascii="Segoe UI" w:eastAsia="Times New Roman" w:hAnsi="Segoe UI" w:cs="Segoe UI"/>
          <w:color w:val="000000"/>
          <w:sz w:val="20"/>
          <w:szCs w:val="20"/>
          <w:lang w:eastAsia="bs-Latn-BA"/>
        </w:rPr>
        <w:t>odine</w:t>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sidRPr="00A35823">
        <w:rPr>
          <w:rFonts w:ascii="Segoe UI" w:eastAsia="Times New Roman" w:hAnsi="Segoe UI" w:cs="Segoe UI"/>
          <w:color w:val="000000"/>
          <w:sz w:val="20"/>
          <w:szCs w:val="20"/>
          <w:lang w:eastAsia="bs-Latn-BA"/>
        </w:rPr>
        <w:t>Predsjednik</w:t>
      </w:r>
      <w:r w:rsidRPr="00A35823">
        <w:rPr>
          <w:rFonts w:ascii="Segoe UI" w:eastAsia="Times New Roman" w:hAnsi="Segoe UI" w:cs="Segoe UI"/>
          <w:color w:val="000000"/>
          <w:sz w:val="20"/>
          <w:szCs w:val="20"/>
          <w:lang w:eastAsia="bs-Latn-BA"/>
        </w:rPr>
        <w:br/>
        <w:t>Sarajevo</w:t>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sidRPr="00A35823">
        <w:rPr>
          <w:rFonts w:ascii="Segoe UI" w:eastAsia="Times New Roman" w:hAnsi="Segoe UI" w:cs="Segoe UI"/>
          <w:b/>
          <w:bCs/>
          <w:color w:val="000000"/>
          <w:sz w:val="20"/>
          <w:szCs w:val="20"/>
          <w:lang w:eastAsia="bs-Latn-BA"/>
        </w:rPr>
        <w:t>Marinko Čavara</w:t>
      </w:r>
      <w:r w:rsidRPr="00A35823">
        <w:rPr>
          <w:rFonts w:ascii="Segoe UI" w:eastAsia="Times New Roman" w:hAnsi="Segoe UI" w:cs="Segoe UI"/>
          <w:color w:val="000000"/>
          <w:sz w:val="20"/>
          <w:szCs w:val="20"/>
          <w:lang w:eastAsia="bs-Latn-BA"/>
        </w:rPr>
        <w:t>, s. r.</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b/>
          <w:bCs/>
          <w:color w:val="000000"/>
          <w:sz w:val="20"/>
          <w:lang w:eastAsia="bs-Latn-BA"/>
        </w:rPr>
        <w:t>ZAKON </w:t>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O IZMJENAMA I DOPUNAMA ZAKONA O RADU </w:t>
      </w:r>
      <w:r w:rsidRPr="00A35823">
        <w:rPr>
          <w:rFonts w:ascii="Segoe UI" w:eastAsia="Times New Roman" w:hAnsi="Segoe UI" w:cs="Segoe UI"/>
          <w:color w:val="000000"/>
          <w:sz w:val="20"/>
          <w:szCs w:val="20"/>
          <w:lang w:eastAsia="bs-Latn-BA"/>
        </w:rPr>
        <w:br/>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Zakonu o radu ("Službene novine Federacije BiH", broj 26/16), u članu 19. stav (3), na kraju rečenice iza riječi "pravo", dodaju se riječi: "osim ako to ovim zakonom nije izričito zabranjeno.".</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2.</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Iza člana 20., dodaje se član 20a. koji glasi:</w:t>
      </w:r>
      <w:r w:rsidRPr="00A35823">
        <w:rPr>
          <w:rFonts w:ascii="Segoe UI" w:eastAsia="Times New Roman" w:hAnsi="Segoe UI" w:cs="Segoe UI"/>
          <w:color w:val="000000"/>
          <w:sz w:val="20"/>
          <w:szCs w:val="20"/>
          <w:lang w:eastAsia="bs-Latn-BA"/>
        </w:rPr>
        <w:br/>
        <w:t>"Član 20a.</w:t>
      </w:r>
      <w:r w:rsidRPr="00A35823">
        <w:rPr>
          <w:rFonts w:ascii="Segoe UI" w:eastAsia="Times New Roman" w:hAnsi="Segoe UI" w:cs="Segoe UI"/>
          <w:color w:val="000000"/>
          <w:sz w:val="20"/>
          <w:szCs w:val="20"/>
          <w:lang w:eastAsia="bs-Latn-BA"/>
        </w:rPr>
        <w:br/>
        <w:t>(1) Radni odnos zasniva se zaključivanjem ugovora o radu, a nakon provođenja procedure prijema propisane pravilnikom o radu poslodavca.</w:t>
      </w:r>
      <w:r w:rsidRPr="00A35823">
        <w:rPr>
          <w:rFonts w:ascii="Segoe UI" w:eastAsia="Times New Roman" w:hAnsi="Segoe UI" w:cs="Segoe UI"/>
          <w:color w:val="000000"/>
          <w:sz w:val="20"/>
          <w:szCs w:val="20"/>
          <w:lang w:eastAsia="bs-Latn-BA"/>
        </w:rPr>
        <w:br/>
        <w:t>(2) U zavodima, agencijama, direkcijama i upravnim organizacijama pod drugim nazivom, pravnim licima sa javnim ovlaštenjima na teritoriji Federacije Bosne i Hercegovine (u daljnjem tekstu: Federacija), kao i u javnim ustanovama i javnim preduzećima čiji je osnivač Federacija, kanton, grad ili općina, te u privrednim društvima u kojima Federacija, kanton, grad ili općina učestvuje sa više od 50% ukupnog kapitala, prijem u radni odnos vrši se nakon provedene procedure obaveznog javnog oglašavanja za prijem u radni odnos.</w:t>
      </w:r>
      <w:r w:rsidRPr="00A35823">
        <w:rPr>
          <w:rFonts w:ascii="Segoe UI" w:eastAsia="Times New Roman" w:hAnsi="Segoe UI" w:cs="Segoe UI"/>
          <w:color w:val="000000"/>
          <w:sz w:val="20"/>
          <w:szCs w:val="20"/>
          <w:lang w:eastAsia="bs-Latn-BA"/>
        </w:rPr>
        <w:br/>
        <w:t xml:space="preserve">(3) Vlada Federacije Bosne i Hercegovine (u daljnjem tekstu: Vlada Federacije), će u roku od 90 dana od dana stupanja na snagu ovog zakona, donijeti propis kojim će propisati postupak prijema u radni </w:t>
      </w:r>
      <w:r w:rsidRPr="00A35823">
        <w:rPr>
          <w:rFonts w:ascii="Segoe UI" w:eastAsia="Times New Roman" w:hAnsi="Segoe UI" w:cs="Segoe UI"/>
          <w:color w:val="000000"/>
          <w:sz w:val="20"/>
          <w:szCs w:val="20"/>
          <w:lang w:eastAsia="bs-Latn-BA"/>
        </w:rPr>
        <w:lastRenderedPageBreak/>
        <w:t>odnos iz stava (2) ovog člana u zavodima, agencijama, direkcijama i upravnim organizacijama, pravnim licima s javnim ovlaštenjima na teritoriji Federacije, u javnim ustanovama i javnim preduzećima čiji je osnivač Federacija, te u privrednim društvima u kojima Federacija učestvuje sa više od 50% ukupnog kapitala.</w:t>
      </w:r>
      <w:r w:rsidRPr="00A35823">
        <w:rPr>
          <w:rFonts w:ascii="Segoe UI" w:eastAsia="Times New Roman" w:hAnsi="Segoe UI" w:cs="Segoe UI"/>
          <w:color w:val="000000"/>
          <w:sz w:val="20"/>
          <w:szCs w:val="20"/>
          <w:lang w:eastAsia="bs-Latn-BA"/>
        </w:rPr>
        <w:br/>
        <w:t>(4) Vlade kantona će u roku od 90 dana od dana stupanja na snagu ovog zakona, donijeti propis kojim će propisati postupak prijema u radni odnos iz stava (2) ovog člana u zavodima, agencijama, direkcijama i upravnim organizacijama, pravnim licima s javnim ovlaštenjima na teritoriji kantona, grada ili općine, u javnim ustanovama i javnim preduzećima čiji su osnivači kantoni, grad ili općina, te u privrednim društvima u kojima kantoni, grad ili općina učestvuju sa više od 50% ukupnog kapitala.".</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3.</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28. riječi: "u roku od 15 dana od dana zaključivanja ugovora o radu, odnosno početka rada", zamjenjuju se riječima: "odmah na početku rada".</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4.</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42. stav (4) riječi: "Bosne i Hercegovine (u daljnjem tekstu: Federacije)", brišu se.</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5.</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47. stav (1) dodaje se druga rečenica koja glasi: "Izuzetno godišnji odmor može da traje i duže od 30 radnih dana, ukoliko je to uređeno kolektivnim ugovorom, a prema prirodi posla i uvjetima rada.".</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6.</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75. stav (2) mijenja se i glasi:</w:t>
      </w:r>
      <w:r w:rsidRPr="00A35823">
        <w:rPr>
          <w:rFonts w:ascii="Segoe UI" w:eastAsia="Times New Roman" w:hAnsi="Segoe UI" w:cs="Segoe UI"/>
          <w:color w:val="000000"/>
          <w:sz w:val="20"/>
          <w:szCs w:val="20"/>
          <w:lang w:eastAsia="bs-Latn-BA"/>
        </w:rPr>
        <w:br/>
        <w:t>"(2) Plaća za obavljeni rad i vrijeme provedeno na radu sastoji se od:</w:t>
      </w:r>
      <w:r w:rsidRPr="00A35823">
        <w:rPr>
          <w:rFonts w:ascii="Segoe UI" w:eastAsia="Times New Roman" w:hAnsi="Segoe UI" w:cs="Segoe UI"/>
          <w:color w:val="000000"/>
          <w:sz w:val="20"/>
          <w:szCs w:val="20"/>
          <w:lang w:eastAsia="bs-Latn-BA"/>
        </w:rPr>
        <w:br/>
        <w:t>a) osnovne plaće;</w:t>
      </w:r>
      <w:r w:rsidRPr="00A35823">
        <w:rPr>
          <w:rFonts w:ascii="Segoe UI" w:eastAsia="Times New Roman" w:hAnsi="Segoe UI" w:cs="Segoe UI"/>
          <w:color w:val="000000"/>
          <w:sz w:val="20"/>
          <w:szCs w:val="20"/>
          <w:lang w:eastAsia="bs-Latn-BA"/>
        </w:rPr>
        <w:br/>
        <w:t>b) dijela plaće za radni učinak ukoliko je isti ostvaren i</w:t>
      </w:r>
      <w:r w:rsidRPr="00A35823">
        <w:rPr>
          <w:rFonts w:ascii="Segoe UI" w:eastAsia="Times New Roman" w:hAnsi="Segoe UI" w:cs="Segoe UI"/>
          <w:color w:val="000000"/>
          <w:sz w:val="20"/>
          <w:szCs w:val="20"/>
          <w:lang w:eastAsia="bs-Latn-BA"/>
        </w:rPr>
        <w:br/>
        <w:t>c) uvećane plaće iz člana 76. ovog zakona.".</w:t>
      </w:r>
      <w:r w:rsidRPr="00A35823">
        <w:rPr>
          <w:rFonts w:ascii="Segoe UI" w:eastAsia="Times New Roman" w:hAnsi="Segoe UI" w:cs="Segoe UI"/>
          <w:color w:val="000000"/>
          <w:sz w:val="20"/>
          <w:szCs w:val="20"/>
          <w:lang w:eastAsia="bs-Latn-BA"/>
        </w:rPr>
        <w:br/>
        <w:t>Iza stava (3) dodaje se stav (4) koji glasi:</w:t>
      </w:r>
      <w:r w:rsidRPr="00A35823">
        <w:rPr>
          <w:rFonts w:ascii="Segoe UI" w:eastAsia="Times New Roman" w:hAnsi="Segoe UI" w:cs="Segoe UI"/>
          <w:color w:val="000000"/>
          <w:sz w:val="20"/>
          <w:szCs w:val="20"/>
          <w:lang w:eastAsia="bs-Latn-BA"/>
        </w:rPr>
        <w:br/>
        <w:t>"(4) Radni učinak definiše poslodavac u skladu sa općim propisima, kolektivnim ugovorom ili pravilnikom o radu.".</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7.</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78. stav (1), mijenja se i glasi:</w:t>
      </w:r>
      <w:r w:rsidRPr="00A35823">
        <w:rPr>
          <w:rFonts w:ascii="Segoe UI" w:eastAsia="Times New Roman" w:hAnsi="Segoe UI" w:cs="Segoe UI"/>
          <w:color w:val="000000"/>
          <w:sz w:val="20"/>
          <w:szCs w:val="20"/>
          <w:lang w:eastAsia="bs-Latn-BA"/>
        </w:rPr>
        <w:br/>
        <w:t>"(1) Vlada Federacije utvrđuje najnižu plaću nakon konsultacija sa Ekonomsko-socijalnim vijećem.".</w:t>
      </w:r>
      <w:r w:rsidRPr="00A35823">
        <w:rPr>
          <w:rFonts w:ascii="Segoe UI" w:eastAsia="Times New Roman" w:hAnsi="Segoe UI" w:cs="Segoe UI"/>
          <w:color w:val="000000"/>
          <w:sz w:val="20"/>
          <w:szCs w:val="20"/>
          <w:lang w:eastAsia="bs-Latn-BA"/>
        </w:rPr>
        <w:br/>
        <w:t>Stav (3) mijenja se i glasi:</w:t>
      </w:r>
      <w:r w:rsidRPr="00A35823">
        <w:rPr>
          <w:rFonts w:ascii="Segoe UI" w:eastAsia="Times New Roman" w:hAnsi="Segoe UI" w:cs="Segoe UI"/>
          <w:color w:val="000000"/>
          <w:sz w:val="20"/>
          <w:szCs w:val="20"/>
          <w:lang w:eastAsia="bs-Latn-BA"/>
        </w:rPr>
        <w:br/>
        <w:t>"(3) Vlada Federacije će na prijedlog Federalnog ministarstva finansija u saradnji sa Federalnim zavodom za programiranje razvoja, a uz prethodne konsultacije sa Ekonomsko-socijalnim vijećem, donijeti propis kojim će propisati metodologiju izračuna i usklađivanja najniže plaće iz stava (1) ovog člana.".</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8.</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94. tač. c. i d., mijenjaju se i glase:</w:t>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color w:val="000000"/>
          <w:sz w:val="20"/>
          <w:szCs w:val="20"/>
          <w:lang w:eastAsia="bs-Latn-BA"/>
        </w:rPr>
        <w:lastRenderedPageBreak/>
        <w:t>"c. kad radnik navrši 65 godina života i 15 godina staža osiguranja (u skladu sa propisima o penzijskom i invalidskom osiguranju), ako se poslodavac i radnik drugačije ne dogovore;</w:t>
      </w:r>
      <w:r w:rsidRPr="00A35823">
        <w:rPr>
          <w:rFonts w:ascii="Segoe UI" w:eastAsia="Times New Roman" w:hAnsi="Segoe UI" w:cs="Segoe UI"/>
          <w:color w:val="000000"/>
          <w:sz w:val="20"/>
          <w:szCs w:val="20"/>
          <w:lang w:eastAsia="bs-Latn-BA"/>
        </w:rPr>
        <w:br/>
        <w:t>d. kad radnik navrši 40 godina staža osiguranja (u skladu sa propisima o penzijskom i invalidskom osiguranju), bez obzira na godine života, ako se poslodavac i radnik drugačije ne dogovore;".</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9.</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114. stav (1), riječ "može", zamjenjuje se se riječima: "dužan je".</w:t>
      </w:r>
      <w:r w:rsidRPr="00A35823">
        <w:rPr>
          <w:rFonts w:ascii="Segoe UI" w:eastAsia="Times New Roman" w:hAnsi="Segoe UI" w:cs="Segoe UI"/>
          <w:color w:val="000000"/>
          <w:sz w:val="20"/>
          <w:szCs w:val="20"/>
          <w:lang w:eastAsia="bs-Latn-BA"/>
        </w:rPr>
        <w:br/>
        <w:t>U stavu (3) riječi: "osim u slučaju zahtjeva radnika za naknadu štete ili drugo novčano potraživanje iz radnog odnosa", zamjenjuju se riječima: "osim u slučaju otkaza ugovora o radu u skladu sa ovim zakonom".</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10.</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138. stav (1), iza riječi "zaključuju", dodaju se riječi: "Vlada Federacije".</w:t>
      </w:r>
      <w:r w:rsidRPr="00A35823">
        <w:rPr>
          <w:rFonts w:ascii="Segoe UI" w:eastAsia="Times New Roman" w:hAnsi="Segoe UI" w:cs="Segoe UI"/>
          <w:color w:val="000000"/>
          <w:sz w:val="20"/>
          <w:szCs w:val="20"/>
          <w:lang w:eastAsia="bs-Latn-BA"/>
        </w:rPr>
        <w:br/>
        <w:t>U stavu (4) iza riječi "poslodavac", tačka se zamjenjuje zarezom i dodaju se riječi: "a gdje se kao vlasnik pojavljuje Federacija, kanton, grad ili općina, potrebno je prethodno pribaviti njihovu saglasnost.".</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11.</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Iza člana 138., dodaje se član 138a. koji glasi:</w:t>
      </w:r>
      <w:r w:rsidRPr="00A35823">
        <w:rPr>
          <w:rFonts w:ascii="Segoe UI" w:eastAsia="Times New Roman" w:hAnsi="Segoe UI" w:cs="Segoe UI"/>
          <w:color w:val="000000"/>
          <w:sz w:val="20"/>
          <w:szCs w:val="20"/>
          <w:lang w:eastAsia="bs-Latn-BA"/>
        </w:rPr>
        <w:br/>
        <w:t>"Član 138a.</w:t>
      </w:r>
      <w:r w:rsidRPr="00A35823">
        <w:rPr>
          <w:rFonts w:ascii="Segoe UI" w:eastAsia="Times New Roman" w:hAnsi="Segoe UI" w:cs="Segoe UI"/>
          <w:color w:val="000000"/>
          <w:sz w:val="20"/>
          <w:szCs w:val="20"/>
          <w:lang w:eastAsia="bs-Latn-BA"/>
        </w:rPr>
        <w:br/>
        <w:t>(1) Granski kolektivni ugovor za područja djelatnosti koja se finansiraju iz budžeta ili vanbudžetskih fondova, zaključuju Vlada Federacije, odnosno nadležna ministarstva i vlade kantona, odnosno nadležna ministarstva s jedne strane i reprezentativni sindikati tih područja djelatnosti s druge strane.</w:t>
      </w:r>
      <w:r w:rsidRPr="00A35823">
        <w:rPr>
          <w:rFonts w:ascii="Segoe UI" w:eastAsia="Times New Roman" w:hAnsi="Segoe UI" w:cs="Segoe UI"/>
          <w:color w:val="000000"/>
          <w:sz w:val="20"/>
          <w:szCs w:val="20"/>
          <w:lang w:eastAsia="bs-Latn-BA"/>
        </w:rPr>
        <w:br/>
        <w:t>(2) Granske kolektivne ugovore za javna preduzeća i javne ustanove čiji je osnivač Federacija, kanton, grad ili općina, zaključuju reprezentativni sindikati i osnivači.</w:t>
      </w:r>
      <w:r w:rsidRPr="00A35823">
        <w:rPr>
          <w:rFonts w:ascii="Segoe UI" w:eastAsia="Times New Roman" w:hAnsi="Segoe UI" w:cs="Segoe UI"/>
          <w:color w:val="000000"/>
          <w:sz w:val="20"/>
          <w:szCs w:val="20"/>
          <w:lang w:eastAsia="bs-Latn-BA"/>
        </w:rPr>
        <w:br/>
        <w:t>(3) Granske kolektivne ugovore za privredna društva u kojima Federacija, kanton, grad ili općina učestvuje sa više od 50% ukupnog kapitala, pored reprezentativnog sindikata, zaključuju predstavnici nosioca državnog kapitala uz učešće reprezentativnog udruženja poslodavaca, osim ako nije drugačije uređeno sporazumom Vlade Federacije, odnosno vlade kantona, gradonačelnika ili načelnika općine sa reprezentativnim udruženjem poslodavaca.</w:t>
      </w:r>
      <w:r w:rsidRPr="00A35823">
        <w:rPr>
          <w:rFonts w:ascii="Segoe UI" w:eastAsia="Times New Roman" w:hAnsi="Segoe UI" w:cs="Segoe UI"/>
          <w:color w:val="000000"/>
          <w:sz w:val="20"/>
          <w:szCs w:val="20"/>
          <w:lang w:eastAsia="bs-Latn-BA"/>
        </w:rPr>
        <w:br/>
        <w:t>(4) U postupku pregovaranja radi zaključivanja kolektivnih ugovora iz st. (1), (2) i (3) ovog člana, reprezentativni sindikat dužan je da sarađuje sa drugim sindikatima sa manjim brojem članova, radi izražavanja interesa zaposlenih koji su učlanjeni u taj sindikat.".</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12.</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Naziv i član 168. mijenjaju se i glase:</w:t>
      </w:r>
      <w:r w:rsidRPr="00A35823">
        <w:rPr>
          <w:rFonts w:ascii="Segoe UI" w:eastAsia="Times New Roman" w:hAnsi="Segoe UI" w:cs="Segoe UI"/>
          <w:color w:val="000000"/>
          <w:sz w:val="20"/>
          <w:szCs w:val="20"/>
          <w:lang w:eastAsia="bs-Latn-BA"/>
        </w:rPr>
        <w:br/>
        <w:t>"Član 168.</w:t>
      </w:r>
      <w:r w:rsidRPr="00A35823">
        <w:rPr>
          <w:rFonts w:ascii="Segoe UI" w:eastAsia="Times New Roman" w:hAnsi="Segoe UI" w:cs="Segoe UI"/>
          <w:color w:val="000000"/>
          <w:sz w:val="20"/>
          <w:szCs w:val="20"/>
          <w:lang w:eastAsia="bs-Latn-BA"/>
        </w:rPr>
        <w:br/>
        <w:t>Prava radnika izabranih i imenovanih na javne dužnosti ili profesionalne funkcije</w:t>
      </w:r>
      <w:r w:rsidRPr="00A35823">
        <w:rPr>
          <w:rFonts w:ascii="Segoe UI" w:eastAsia="Times New Roman" w:hAnsi="Segoe UI" w:cs="Segoe UI"/>
          <w:color w:val="000000"/>
          <w:sz w:val="20"/>
          <w:szCs w:val="20"/>
          <w:lang w:eastAsia="bs-Latn-BA"/>
        </w:rPr>
        <w:br/>
        <w:t>(1) Radniku izabranom, odnosno imenovanom na neku od javnih dužnosti, u organe Bosne i Hercegovine, Federacije, organe kantona, grada i općine i radniku izabranom na profesionalnu funkciju u sindikatu, prava i obaveze iz radnog odnosa, na njegov zahtjev, miruju, a najduže na period koliko traje obavljanje te funkcije, od dana izbora odnosno imenovanja.</w:t>
      </w:r>
      <w:r w:rsidRPr="00A35823">
        <w:rPr>
          <w:rFonts w:ascii="Segoe UI" w:eastAsia="Times New Roman" w:hAnsi="Segoe UI" w:cs="Segoe UI"/>
          <w:color w:val="000000"/>
          <w:sz w:val="20"/>
          <w:szCs w:val="20"/>
          <w:lang w:eastAsia="bs-Latn-BA"/>
        </w:rPr>
        <w:br/>
        <w:t>(2) Radnik koji nakon završenog mandata iz stava (1) ovog člana, želi da se vrati kod istog poslodavca, dužan ga je o tome obavijestiti u roku od 30 dana od dana prestanka mandata, a poslodavac je dužan primiti radnika na rad u roku od 30 dana od dana obavijesti radnika.</w:t>
      </w:r>
      <w:r w:rsidRPr="00A35823">
        <w:rPr>
          <w:rFonts w:ascii="Segoe UI" w:eastAsia="Times New Roman" w:hAnsi="Segoe UI" w:cs="Segoe UI"/>
          <w:color w:val="000000"/>
          <w:sz w:val="20"/>
          <w:szCs w:val="20"/>
          <w:lang w:eastAsia="bs-Latn-BA"/>
        </w:rPr>
        <w:br/>
        <w:t xml:space="preserve">(3) Radnika, koji je obavijestio poslodavca u smislu stava (2) ovog člana, poslodavac je dužan rasporediti na poslove na kojima je radio prije stupanja na dužnost ili na druge odgovarajuće poslove, </w:t>
      </w:r>
      <w:r w:rsidRPr="00A35823">
        <w:rPr>
          <w:rFonts w:ascii="Segoe UI" w:eastAsia="Times New Roman" w:hAnsi="Segoe UI" w:cs="Segoe UI"/>
          <w:color w:val="000000"/>
          <w:sz w:val="20"/>
          <w:szCs w:val="20"/>
          <w:lang w:eastAsia="bs-Latn-BA"/>
        </w:rPr>
        <w:lastRenderedPageBreak/>
        <w:t>osim ako je prestala potreba za obavljanjem tih poslova zbog ekonomskih, tehničkih ili organizacijskih razloga u smislu člana 96. ovog zakona.</w:t>
      </w:r>
      <w:r w:rsidRPr="00A35823">
        <w:rPr>
          <w:rFonts w:ascii="Segoe UI" w:eastAsia="Times New Roman" w:hAnsi="Segoe UI" w:cs="Segoe UI"/>
          <w:color w:val="000000"/>
          <w:sz w:val="20"/>
          <w:szCs w:val="20"/>
          <w:lang w:eastAsia="bs-Latn-BA"/>
        </w:rPr>
        <w:br/>
        <w:t>(4) Ako poslodavac ne može vratiti radnika na rad, zbog prestanka potrebe za obavljanjem poslova u smislu stava (3) ovog člana, dužan mu je isplatiti otpremninu utvrđenu u članu 111. ovog zakona, s tim da se prosječna plaća dovede na nivo plaće koju bi radnik ostvario da je radio.</w:t>
      </w:r>
      <w:r w:rsidRPr="00A35823">
        <w:rPr>
          <w:rFonts w:ascii="Segoe UI" w:eastAsia="Times New Roman" w:hAnsi="Segoe UI" w:cs="Segoe UI"/>
          <w:color w:val="000000"/>
          <w:sz w:val="20"/>
          <w:szCs w:val="20"/>
          <w:lang w:eastAsia="bs-Latn-BA"/>
        </w:rPr>
        <w:br/>
        <w:t>(5) Ako radniku prestane radni odnos u smislu stava (3) ovog člana, poslodavac ne može u roku od jedne godine dana, zaposliti drugo lice koje ima istu kvalifikaciju ili stepen stručne spreme.".</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13.</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U članu 171. stav (1), dodaje se nova tačka 53. koja glasi:</w:t>
      </w:r>
      <w:r w:rsidRPr="00A35823">
        <w:rPr>
          <w:rFonts w:ascii="Segoe UI" w:eastAsia="Times New Roman" w:hAnsi="Segoe UI" w:cs="Segoe UI"/>
          <w:color w:val="000000"/>
          <w:sz w:val="20"/>
          <w:szCs w:val="20"/>
          <w:lang w:eastAsia="bs-Latn-BA"/>
        </w:rPr>
        <w:br/>
        <w:t>"53. iz neopravdanih razloga ne isplati plaću u roku utvrđenom u članu 79. stav (1) ovog zakona, sa svim pripadajućim doprinosima,".</w:t>
      </w:r>
      <w:r w:rsidRPr="00A35823">
        <w:rPr>
          <w:rFonts w:ascii="Segoe UI" w:eastAsia="Times New Roman" w:hAnsi="Segoe UI" w:cs="Segoe UI"/>
          <w:color w:val="000000"/>
          <w:sz w:val="20"/>
          <w:szCs w:val="20"/>
          <w:lang w:eastAsia="bs-Latn-BA"/>
        </w:rPr>
        <w:br/>
        <w:t>Dosadašnje tač. 53. do 71. postaju tač. 54. do 72.</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14.</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172. zakona, briše se.</w:t>
      </w:r>
    </w:p>
    <w:p w:rsidR="00A35823" w:rsidRPr="00A35823" w:rsidRDefault="00A35823" w:rsidP="00A35823">
      <w:pPr>
        <w:shd w:val="clear" w:color="auto" w:fill="FFFFFF"/>
        <w:spacing w:after="150"/>
        <w:jc w:val="center"/>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lang w:eastAsia="bs-Latn-BA"/>
        </w:rPr>
        <w:t>Član 15.</w:t>
      </w:r>
    </w:p>
    <w:p w:rsidR="00A35823" w:rsidRPr="00A35823" w:rsidRDefault="00A35823" w:rsidP="00A35823">
      <w:pPr>
        <w:shd w:val="clear" w:color="auto" w:fill="FFFFFF"/>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br/>
        <w:t>Ovaj zakon stupa na snagu osmog dana od dana objavljivanja u "Službenim novinama Federacije BiH". </w:t>
      </w:r>
      <w:r w:rsidRPr="00A35823">
        <w:rPr>
          <w:rFonts w:ascii="Segoe UI" w:eastAsia="Times New Roman" w:hAnsi="Segoe UI" w:cs="Segoe UI"/>
          <w:color w:val="000000"/>
          <w:sz w:val="20"/>
          <w:szCs w:val="20"/>
          <w:lang w:eastAsia="bs-Latn-BA"/>
        </w:rPr>
        <w:br/>
      </w:r>
    </w:p>
    <w:p w:rsidR="00A35823" w:rsidRPr="00A35823" w:rsidRDefault="00A35823" w:rsidP="00A35823">
      <w:pPr>
        <w:shd w:val="clear" w:color="auto" w:fill="FFFFFF"/>
        <w:spacing w:after="150"/>
        <w:rPr>
          <w:rFonts w:ascii="Segoe UI" w:eastAsia="Times New Roman" w:hAnsi="Segoe UI" w:cs="Segoe UI"/>
          <w:color w:val="000000"/>
          <w:sz w:val="20"/>
          <w:szCs w:val="20"/>
          <w:lang w:eastAsia="bs-Latn-BA"/>
        </w:rPr>
      </w:pPr>
      <w:r w:rsidRPr="00A35823">
        <w:rPr>
          <w:rFonts w:ascii="Segoe UI" w:eastAsia="Times New Roman" w:hAnsi="Segoe UI" w:cs="Segoe UI"/>
          <w:color w:val="000000"/>
          <w:sz w:val="20"/>
          <w:szCs w:val="20"/>
          <w:lang w:eastAsia="bs-Latn-BA"/>
        </w:rPr>
        <w:t>Predsjedavajući</w:t>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t>Predsjedavajuća</w:t>
      </w:r>
      <w:r w:rsidRPr="00A35823">
        <w:rPr>
          <w:rFonts w:ascii="Segoe UI" w:eastAsia="Times New Roman" w:hAnsi="Segoe UI" w:cs="Segoe UI"/>
          <w:color w:val="000000"/>
          <w:sz w:val="20"/>
          <w:szCs w:val="20"/>
          <w:lang w:eastAsia="bs-Latn-BA"/>
        </w:rPr>
        <w:br/>
        <w:t xml:space="preserve">Predstavničkog doma </w:t>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sidRPr="00A35823">
        <w:rPr>
          <w:rFonts w:ascii="Segoe UI" w:eastAsia="Times New Roman" w:hAnsi="Segoe UI" w:cs="Segoe UI"/>
          <w:color w:val="000000"/>
          <w:sz w:val="20"/>
          <w:szCs w:val="20"/>
          <w:lang w:eastAsia="bs-Latn-BA"/>
        </w:rPr>
        <w:t>Doma naroda</w:t>
      </w:r>
      <w:r w:rsidRPr="00A35823">
        <w:rPr>
          <w:rFonts w:ascii="Segoe UI" w:eastAsia="Times New Roman" w:hAnsi="Segoe UI" w:cs="Segoe UI"/>
          <w:color w:val="000000"/>
          <w:sz w:val="20"/>
          <w:szCs w:val="20"/>
          <w:lang w:eastAsia="bs-Latn-BA"/>
        </w:rPr>
        <w:br/>
        <w:t>Parlamenta Federacije BiH</w:t>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t>P</w:t>
      </w:r>
      <w:r w:rsidRPr="00A35823">
        <w:rPr>
          <w:rFonts w:ascii="Segoe UI" w:eastAsia="Times New Roman" w:hAnsi="Segoe UI" w:cs="Segoe UI"/>
          <w:color w:val="000000"/>
          <w:sz w:val="20"/>
          <w:szCs w:val="20"/>
          <w:lang w:eastAsia="bs-Latn-BA"/>
        </w:rPr>
        <w:t>arlamenta Federacije BiH</w:t>
      </w:r>
      <w:r w:rsidRPr="00A35823">
        <w:rPr>
          <w:rFonts w:ascii="Segoe UI" w:eastAsia="Times New Roman" w:hAnsi="Segoe UI" w:cs="Segoe UI"/>
          <w:color w:val="000000"/>
          <w:sz w:val="20"/>
          <w:szCs w:val="20"/>
          <w:lang w:eastAsia="bs-Latn-BA"/>
        </w:rPr>
        <w:br/>
      </w:r>
      <w:r w:rsidRPr="00A35823">
        <w:rPr>
          <w:rFonts w:ascii="Segoe UI" w:eastAsia="Times New Roman" w:hAnsi="Segoe UI" w:cs="Segoe UI"/>
          <w:b/>
          <w:bCs/>
          <w:color w:val="000000"/>
          <w:sz w:val="20"/>
          <w:szCs w:val="20"/>
          <w:lang w:eastAsia="bs-Latn-BA"/>
        </w:rPr>
        <w:t>Edin Mušić</w:t>
      </w:r>
      <w:r w:rsidRPr="00A35823">
        <w:rPr>
          <w:rFonts w:ascii="Segoe UI" w:eastAsia="Times New Roman" w:hAnsi="Segoe UI" w:cs="Segoe UI"/>
          <w:color w:val="000000"/>
          <w:sz w:val="20"/>
          <w:szCs w:val="20"/>
          <w:lang w:eastAsia="bs-Latn-BA"/>
        </w:rPr>
        <w:t>, s. r.</w:t>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Pr>
          <w:rFonts w:ascii="Segoe UI" w:eastAsia="Times New Roman" w:hAnsi="Segoe UI" w:cs="Segoe UI"/>
          <w:color w:val="000000"/>
          <w:sz w:val="20"/>
          <w:szCs w:val="20"/>
          <w:lang w:eastAsia="bs-Latn-BA"/>
        </w:rPr>
        <w:tab/>
      </w:r>
      <w:r w:rsidRPr="00A35823">
        <w:rPr>
          <w:rFonts w:ascii="Segoe UI" w:eastAsia="Times New Roman" w:hAnsi="Segoe UI" w:cs="Segoe UI"/>
          <w:b/>
          <w:bCs/>
          <w:color w:val="000000"/>
          <w:sz w:val="20"/>
          <w:szCs w:val="20"/>
          <w:lang w:eastAsia="bs-Latn-BA"/>
        </w:rPr>
        <w:t>Lidija Bradara</w:t>
      </w:r>
      <w:r w:rsidRPr="00A35823">
        <w:rPr>
          <w:rFonts w:ascii="Segoe UI" w:eastAsia="Times New Roman" w:hAnsi="Segoe UI" w:cs="Segoe UI"/>
          <w:color w:val="000000"/>
          <w:sz w:val="20"/>
          <w:szCs w:val="20"/>
          <w:lang w:eastAsia="bs-Latn-BA"/>
        </w:rPr>
        <w:t>, s. r.</w:t>
      </w:r>
    </w:p>
    <w:p w:rsidR="0055632B" w:rsidRDefault="0055632B"/>
    <w:sectPr w:rsidR="0055632B" w:rsidSect="00556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823"/>
    <w:rsid w:val="00074E34"/>
    <w:rsid w:val="000B6839"/>
    <w:rsid w:val="00137F2B"/>
    <w:rsid w:val="00264F34"/>
    <w:rsid w:val="002709A7"/>
    <w:rsid w:val="002C5CA7"/>
    <w:rsid w:val="0030271E"/>
    <w:rsid w:val="00493600"/>
    <w:rsid w:val="0055632B"/>
    <w:rsid w:val="005F0408"/>
    <w:rsid w:val="006E5D1C"/>
    <w:rsid w:val="0086007C"/>
    <w:rsid w:val="0096745F"/>
    <w:rsid w:val="00A35823"/>
    <w:rsid w:val="00B34962"/>
    <w:rsid w:val="00B7223A"/>
    <w:rsid w:val="00CC66DC"/>
    <w:rsid w:val="00CD7088"/>
    <w:rsid w:val="00D35285"/>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2B"/>
  </w:style>
  <w:style w:type="paragraph" w:styleId="Heading1">
    <w:name w:val="heading 1"/>
    <w:basedOn w:val="Normal"/>
    <w:link w:val="Heading1Char"/>
    <w:uiPriority w:val="9"/>
    <w:qFormat/>
    <w:rsid w:val="00A35823"/>
    <w:pPr>
      <w:spacing w:before="100" w:beforeAutospacing="1" w:after="100" w:afterAutospacing="1"/>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823"/>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A35823"/>
    <w:pPr>
      <w:spacing w:before="100" w:beforeAutospacing="1" w:after="100" w:afterAutospacing="1"/>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A35823"/>
    <w:rPr>
      <w:b/>
      <w:bCs/>
    </w:rPr>
  </w:style>
</w:styles>
</file>

<file path=word/webSettings.xml><?xml version="1.0" encoding="utf-8"?>
<w:webSettings xmlns:r="http://schemas.openxmlformats.org/officeDocument/2006/relationships" xmlns:w="http://schemas.openxmlformats.org/wordprocessingml/2006/main">
  <w:divs>
    <w:div w:id="1142499152">
      <w:bodyDiv w:val="1"/>
      <w:marLeft w:val="0"/>
      <w:marRight w:val="0"/>
      <w:marTop w:val="0"/>
      <w:marBottom w:val="0"/>
      <w:divBdr>
        <w:top w:val="none" w:sz="0" w:space="0" w:color="auto"/>
        <w:left w:val="none" w:sz="0" w:space="0" w:color="auto"/>
        <w:bottom w:val="none" w:sz="0" w:space="0" w:color="auto"/>
        <w:right w:val="none" w:sz="0" w:space="0" w:color="auto"/>
      </w:divBdr>
      <w:divsChild>
        <w:div w:id="1391809768">
          <w:marLeft w:val="0"/>
          <w:marRight w:val="0"/>
          <w:marTop w:val="0"/>
          <w:marBottom w:val="0"/>
          <w:divBdr>
            <w:top w:val="none" w:sz="0" w:space="0" w:color="auto"/>
            <w:left w:val="none" w:sz="0" w:space="0" w:color="auto"/>
            <w:bottom w:val="none" w:sz="0" w:space="0" w:color="auto"/>
            <w:right w:val="none" w:sz="0" w:space="0" w:color="auto"/>
          </w:divBdr>
        </w:div>
        <w:div w:id="1933204351">
          <w:marLeft w:val="0"/>
          <w:marRight w:val="0"/>
          <w:marTop w:val="0"/>
          <w:marBottom w:val="0"/>
          <w:divBdr>
            <w:top w:val="none" w:sz="0" w:space="0" w:color="auto"/>
            <w:left w:val="none" w:sz="0" w:space="0" w:color="auto"/>
            <w:bottom w:val="none" w:sz="0" w:space="0" w:color="auto"/>
            <w:right w:val="none" w:sz="0" w:space="0" w:color="auto"/>
          </w:divBdr>
        </w:div>
        <w:div w:id="1184131533">
          <w:marLeft w:val="0"/>
          <w:marRight w:val="0"/>
          <w:marTop w:val="0"/>
          <w:marBottom w:val="0"/>
          <w:divBdr>
            <w:top w:val="none" w:sz="0" w:space="0" w:color="auto"/>
            <w:left w:val="none" w:sz="0" w:space="0" w:color="auto"/>
            <w:bottom w:val="none" w:sz="0" w:space="0" w:color="auto"/>
            <w:right w:val="none" w:sz="0" w:space="0" w:color="auto"/>
          </w:divBdr>
        </w:div>
        <w:div w:id="275793359">
          <w:marLeft w:val="0"/>
          <w:marRight w:val="0"/>
          <w:marTop w:val="0"/>
          <w:marBottom w:val="0"/>
          <w:divBdr>
            <w:top w:val="none" w:sz="0" w:space="0" w:color="auto"/>
            <w:left w:val="none" w:sz="0" w:space="0" w:color="auto"/>
            <w:bottom w:val="none" w:sz="0" w:space="0" w:color="auto"/>
            <w:right w:val="none" w:sz="0" w:space="0" w:color="auto"/>
          </w:divBdr>
        </w:div>
        <w:div w:id="830483094">
          <w:marLeft w:val="0"/>
          <w:marRight w:val="0"/>
          <w:marTop w:val="0"/>
          <w:marBottom w:val="0"/>
          <w:divBdr>
            <w:top w:val="none" w:sz="0" w:space="0" w:color="auto"/>
            <w:left w:val="none" w:sz="0" w:space="0" w:color="auto"/>
            <w:bottom w:val="none" w:sz="0" w:space="0" w:color="auto"/>
            <w:right w:val="none" w:sz="0" w:space="0" w:color="auto"/>
          </w:divBdr>
        </w:div>
        <w:div w:id="130635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7101</Characters>
  <Application>Microsoft Office Word</Application>
  <DocSecurity>0</DocSecurity>
  <Lines>59</Lines>
  <Paragraphs>16</Paragraphs>
  <ScaleCrop>false</ScaleCrop>
  <Company>Grizli777</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sindikat4</dc:creator>
  <cp:lastModifiedBy>sindikat4</cp:lastModifiedBy>
  <cp:revision>1</cp:revision>
  <dcterms:created xsi:type="dcterms:W3CDTF">2018-11-12T10:50:00Z</dcterms:created>
  <dcterms:modified xsi:type="dcterms:W3CDTF">2018-11-12T10:55:00Z</dcterms:modified>
</cp:coreProperties>
</file>